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F3A5F"/>
          <w:sz w:val="34"/>
          <w:szCs w:val="34"/>
        </w:rPr>
        <w:t xml:space="preserve">Quotation for a Compensation Event</w:t>
      </w:r>
    </w:p>
    <w:p>
      <w:pPr>
        <w:spacing w:after="200"/>
      </w:pPr>
      <w:r>
        <w:rPr>
          <w:rFonts w:ascii="Arial" w:cs="Arial" w:eastAsia="Arial" w:hAnsi="Arial"/>
          <w:i/>
          <w:iCs/>
          <w:color w:val="555555"/>
          <w:sz w:val="19"/>
          <w:szCs w:val="19"/>
        </w:rPr>
        <w:t xml:space="preserve">Cover document for a quotation under clause 62 of the NEC3 or NEC4 ECC. Use with the Clause 60 quotation build-up workbook. Text in brown square brackets is for you to complete.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C5CC" w:sz="4"/>
              <w:left w:val="single" w:color="BFC5CC" w:sz="4"/>
              <w:bottom w:val="single" w:color="BFC5CC" w:sz="4"/>
              <w:right w:val="single" w:color="BFC5CC" w:sz="4"/>
            </w:tcBorders>
            <w:shd w:fill="FFF9DB" w:color="auto" w:val="clear"/>
            <w:tcMar>
              <w:top w:type="dxa" w:w="100"/>
              <w:left w:type="dxa" w:w="140"/>
              <w:bottom w:type="dxa" w:w="100"/>
              <w:right w:type="dxa" w:w="140"/>
            </w:tcMar>
          </w:tcPr>
          <w:p>
            <w:pPr>
              <w:spacing w:after="80"/>
            </w:pPr>
            <w:r>
              <w:rPr>
                <w:rFonts w:ascii="Arial" w:cs="Arial" w:eastAsia="Arial" w:hAnsi="Arial"/>
                <w:b/>
                <w:bCs/>
                <w:sz w:val="20"/>
                <w:szCs w:val="20"/>
              </w:rPr>
              <w:t xml:space="preserve">Guidance. Delete this box before you issue the document.</w:t>
            </w:r>
          </w:p>
          <w:p>
            <w:pPr>
              <w:pStyle w:val="ListParagraph"/>
              <w:numPr>
                <w:ilvl w:val="0"/>
                <w:numId w:val="2"/>
              </w:numPr>
              <w:spacing w:after="60"/>
            </w:pPr>
            <w:r>
              <w:rPr>
                <w:rFonts w:ascii="Arial" w:cs="Arial" w:eastAsia="Arial" w:hAnsi="Arial"/>
                <w:sz w:val="19"/>
                <w:szCs w:val="19"/>
              </w:rPr>
              <w:t xml:space="preserve">The standard period for submitting a quotation is three weeks from the instruction (two weeks under the NEC4 subcontract and one week under the NEC3 subcontract). If you need longer, agree the extension with the Project Manager before the period runs out.</w:t>
            </w:r>
          </w:p>
          <w:p>
            <w:pPr>
              <w:pStyle w:val="ListParagraph"/>
              <w:numPr>
                <w:ilvl w:val="0"/>
                <w:numId w:val="2"/>
              </w:numPr>
              <w:spacing w:after="60"/>
            </w:pPr>
            <w:r>
              <w:rPr>
                <w:rFonts w:ascii="Arial" w:cs="Arial" w:eastAsia="Arial" w:hAnsi="Arial"/>
                <w:sz w:val="19"/>
                <w:szCs w:val="19"/>
              </w:rPr>
              <w:t xml:space="preserve">A quotation covers both money and time: the change to the Prices, any delay to the Completion Date and to Key Dates, and the details of how you assessed them. If the programme for the remaining work is affected, include the alterations to the Accepted Programme.</w:t>
            </w:r>
          </w:p>
          <w:p>
            <w:pPr>
              <w:pStyle w:val="ListParagraph"/>
              <w:numPr>
                <w:ilvl w:val="0"/>
                <w:numId w:val="2"/>
              </w:numPr>
              <w:spacing w:after="60"/>
            </w:pPr>
            <w:r>
              <w:rPr>
                <w:rFonts w:ascii="Arial" w:cs="Arial" w:eastAsia="Arial" w:hAnsi="Arial"/>
                <w:sz w:val="19"/>
                <w:szCs w:val="19"/>
              </w:rPr>
              <w:t xml:space="preserve">State the dividing date and keep to it. Cost before it is actual and needs records. Cost after it is forecast and needs a stated basis.</w:t>
            </w:r>
          </w:p>
          <w:p>
            <w:pPr>
              <w:pStyle w:val="ListParagraph"/>
              <w:numPr>
                <w:ilvl w:val="0"/>
                <w:numId w:val="2"/>
              </w:numPr>
              <w:spacing w:after="60"/>
            </w:pPr>
            <w:r>
              <w:rPr>
                <w:rFonts w:ascii="Arial" w:cs="Arial" w:eastAsia="Arial" w:hAnsi="Arial"/>
                <w:sz w:val="19"/>
                <w:szCs w:val="19"/>
              </w:rPr>
              <w:t xml:space="preserve">Repeat any assumptions the Project Manager stated and price on them, even if you disagree with them. Record your disagreement separately.</w:t>
            </w:r>
          </w:p>
          <w:p>
            <w:pPr>
              <w:pStyle w:val="ListParagraph"/>
              <w:numPr>
                <w:ilvl w:val="0"/>
                <w:numId w:val="2"/>
              </w:numPr>
              <w:spacing w:after="60"/>
            </w:pPr>
            <w:r>
              <w:rPr>
                <w:rFonts w:ascii="Arial" w:cs="Arial" w:eastAsia="Arial" w:hAnsi="Arial"/>
                <w:sz w:val="19"/>
                <w:szCs w:val="19"/>
              </w:rPr>
              <w:t xml:space="preserve">Show risk allowances openly, risk by risk. A flat percentage gives the assessor nothing to agree with.</w:t>
            </w:r>
          </w:p>
          <w:p>
            <w:pPr>
              <w:pStyle w:val="ListParagraph"/>
              <w:numPr>
                <w:ilvl w:val="0"/>
                <w:numId w:val="2"/>
              </w:numPr>
              <w:spacing w:after="60"/>
            </w:pPr>
            <w:r>
              <w:rPr>
                <w:rFonts w:ascii="Arial" w:cs="Arial" w:eastAsia="Arial" w:hAnsi="Arial"/>
                <w:sz w:val="19"/>
                <w:szCs w:val="19"/>
              </w:rPr>
              <w:t xml:space="preserve">Once implemented, the assessment is not normally reopened. Check the figures and the programme before you submit.</w:t>
            </w:r>
          </w:p>
        </w:tc>
      </w:tr>
    </w:tbl>
    <w:p>
      <w:pPr>
        <w:spacing w:after="160"/>
      </w:pPr>
      <w:r>
        <w:rPr>
          <w:rFonts w:ascii="Arial" w:cs="Arial" w:eastAsia="Arial" w:hAnsi="Arial"/>
          <w:sz w:val="21"/>
          <w:szCs w:val="21"/>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Contract</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[contract title and number]</w:t>
            </w:r>
          </w:p>
        </w:tc>
      </w:tr>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To</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[Project Manager]</w:t>
            </w:r>
          </w:p>
        </w:tc>
      </w:tr>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From</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[Contractor]</w:t>
            </w:r>
          </w:p>
        </w:tc>
      </w:tr>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Compensation event reference</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[e.g. CE-014]</w:t>
            </w:r>
          </w:p>
        </w:tc>
      </w:tr>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Quotation reference and revision</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[e.g. CEQ-014 rev 0]</w:t>
            </w:r>
          </w:p>
        </w:tc>
      </w:tr>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Date submitted</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[dd/mm/yyyy]</w:t>
            </w:r>
          </w:p>
        </w:tc>
      </w:tr>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Instruction to submit quotations</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[reference and date]</w:t>
            </w:r>
          </w:p>
        </w:tc>
      </w:tr>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Notification of the event</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[reference, date, and who notified]</w:t>
            </w:r>
          </w:p>
        </w:tc>
      </w:tr>
    </w:tbl>
    <w:p>
      <w:pPr>
        <w:pStyle w:val="Heading2"/>
        <w:spacing w:after="100" w:before="240"/>
      </w:pPr>
      <w:r>
        <w:rPr>
          <w:rFonts w:ascii="Arial" w:cs="Arial" w:eastAsia="Arial" w:hAnsi="Arial"/>
          <w:b/>
          <w:bCs/>
          <w:color w:val="1F3A5F"/>
          <w:sz w:val="24"/>
          <w:szCs w:val="24"/>
        </w:rPr>
        <w:t xml:space="preserve">1. The event</w:t>
      </w:r>
    </w:p>
    <w:p>
      <w:pPr>
        <w:spacing w:after="120"/>
      </w:pPr>
      <w:r>
        <w:rPr>
          <w:rFonts w:ascii="Arial" w:cs="Arial" w:eastAsia="Arial" w:hAnsi="Arial"/>
          <w:color w:val="7A4B00"/>
          <w:sz w:val="21"/>
          <w:szCs w:val="21"/>
        </w:rPr>
        <w:t xml:space="preserve">[Two or three sentences describing the event and the work affected. Refer to the notification for the detail.]</w:t>
      </w:r>
    </w:p>
    <w:p>
      <w:pPr>
        <w:pStyle w:val="Heading2"/>
        <w:spacing w:after="100" w:before="240"/>
      </w:pPr>
      <w:r>
        <w:rPr>
          <w:rFonts w:ascii="Arial" w:cs="Arial" w:eastAsia="Arial" w:hAnsi="Arial"/>
          <w:b/>
          <w:bCs/>
          <w:color w:val="1F3A5F"/>
          <w:sz w:val="24"/>
          <w:szCs w:val="24"/>
        </w:rPr>
        <w:t xml:space="preserve">2. Basis of this quotation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blHeader/>
        </w:trPr>
        <w:tc>
          <w:tcPr>
            <w:tcW w:type="dxa" w:w="3200"/>
            <w:tcBorders>
              <w:top w:val="single" w:color="BFC5CC" w:sz="4"/>
              <w:left w:val="single" w:color="BFC5CC" w:sz="4"/>
              <w:bottom w:val="single" w:color="BFC5CC" w:sz="4"/>
              <w:right w:val="single" w:color="BFC5CC" w:sz="4"/>
            </w:tcBorders>
            <w:shd w:fill="1F3A5F" w:color="auto" w:val="clear"/>
            <w:tcMar>
              <w:top w:type="dxa" w:w="70"/>
              <w:left w:type="dxa" w:w="100"/>
              <w:bottom w:type="dxa" w:w="70"/>
              <w:right w:type="dxa" w:w="100"/>
            </w:tcMar>
          </w:tcPr>
          <w:p>
            <w:r>
              <w:rPr>
                <w:rFonts w:ascii="Arial" w:cs="Arial" w:eastAsia="Arial" w:hAnsi="Arial"/>
                <w:b/>
                <w:bCs/>
                <w:color w:val="FFFFFF"/>
                <w:sz w:val="20"/>
                <w:szCs w:val="20"/>
              </w:rPr>
              <w:t xml:space="preserve">Item</w:t>
            </w:r>
          </w:p>
        </w:tc>
        <w:tc>
          <w:tcPr>
            <w:tcW w:type="dxa" w:w="5826"/>
            <w:tcBorders>
              <w:top w:val="single" w:color="BFC5CC" w:sz="4"/>
              <w:left w:val="single" w:color="BFC5CC" w:sz="4"/>
              <w:bottom w:val="single" w:color="BFC5CC" w:sz="4"/>
              <w:right w:val="single" w:color="BFC5CC" w:sz="4"/>
            </w:tcBorders>
            <w:shd w:fill="1F3A5F" w:color="auto" w:val="clear"/>
            <w:tcMar>
              <w:top w:type="dxa" w:w="70"/>
              <w:left w:type="dxa" w:w="100"/>
              <w:bottom w:type="dxa" w:w="70"/>
              <w:right w:type="dxa" w:w="100"/>
            </w:tcMar>
          </w:tcPr>
          <w:p>
            <w:r>
              <w:rPr>
                <w:rFonts w:ascii="Arial" w:cs="Arial" w:eastAsia="Arial" w:hAnsi="Arial"/>
                <w:b/>
                <w:bCs/>
                <w:color w:val="FFFFFF"/>
                <w:sz w:val="20"/>
                <w:szCs w:val="20"/>
              </w:rPr>
              <w:t xml:space="preserve">Statement</w:t>
            </w:r>
          </w:p>
        </w:tc>
      </w:tr>
      <w:tr>
        <w:tc>
          <w:tcPr>
            <w:tcW w:type="dxa" w:w="32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Dividing date</w:t>
            </w:r>
          </w:p>
        </w:tc>
        <w:tc>
          <w:tcPr>
            <w:tcW w:type="dxa" w:w="58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[dd/mm/yyyy, and how it was determined]</w:t>
            </w:r>
          </w:p>
        </w:tc>
      </w:tr>
      <w:tr>
        <w:tc>
          <w:tcPr>
            <w:tcW w:type="dxa" w:w="32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Assumptions stated by the Project Manager</w:t>
            </w:r>
          </w:p>
        </w:tc>
        <w:tc>
          <w:tcPr>
            <w:tcW w:type="dxa" w:w="58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[list them, or "none stated"]</w:t>
            </w:r>
          </w:p>
        </w:tc>
      </w:tr>
      <w:tr>
        <w:tc>
          <w:tcPr>
            <w:tcW w:type="dxa" w:w="32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Alternative quotations</w:t>
            </w:r>
          </w:p>
        </w:tc>
        <w:tc>
          <w:tcPr>
            <w:tcW w:type="dxa" w:w="58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[state if this is one of several instructed, and which method each covers]</w:t>
            </w:r>
          </w:p>
        </w:tc>
      </w:tr>
      <w:tr>
        <w:tc>
          <w:tcPr>
            <w:tcW w:type="dxa" w:w="32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Accepted Programme used</w:t>
            </w:r>
          </w:p>
        </w:tc>
        <w:tc>
          <w:tcPr>
            <w:tcW w:type="dxa" w:w="58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[reference, revision and data date]</w:t>
            </w:r>
          </w:p>
        </w:tc>
      </w:tr>
      <w:tr>
        <w:tc>
          <w:tcPr>
            <w:tcW w:type="dxa" w:w="32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Early warning</w:t>
            </w:r>
          </w:p>
        </w:tc>
        <w:tc>
          <w:tcPr>
            <w:tcW w:type="dxa" w:w="58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[reference and date, or "not applicable"]</w:t>
            </w:r>
          </w:p>
        </w:tc>
      </w:tr>
    </w:tbl>
    <w:p>
      <w:pPr>
        <w:pStyle w:val="Heading2"/>
        <w:spacing w:after="100" w:before="240"/>
      </w:pPr>
      <w:r>
        <w:rPr>
          <w:rFonts w:ascii="Arial" w:cs="Arial" w:eastAsia="Arial" w:hAnsi="Arial"/>
          <w:b/>
          <w:bCs/>
          <w:color w:val="1F3A5F"/>
          <w:sz w:val="24"/>
          <w:szCs w:val="24"/>
        </w:rPr>
        <w:t xml:space="preserve">3. Change to the Prices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0"/>
        <w:gridCol w:w="3026"/>
      </w:tblGrid>
      <w:tr>
        <w:trPr>
          <w:tblHeader/>
        </w:trPr>
        <w:tc>
          <w:tcPr>
            <w:tcW w:type="dxa" w:w="6000"/>
            <w:tcBorders>
              <w:top w:val="single" w:color="BFC5CC" w:sz="4"/>
              <w:left w:val="single" w:color="BFC5CC" w:sz="4"/>
              <w:bottom w:val="single" w:color="BFC5CC" w:sz="4"/>
              <w:right w:val="single" w:color="BFC5CC" w:sz="4"/>
            </w:tcBorders>
            <w:shd w:fill="1F3A5F" w:color="auto" w:val="clear"/>
            <w:tcMar>
              <w:top w:type="dxa" w:w="70"/>
              <w:left w:type="dxa" w:w="100"/>
              <w:bottom w:type="dxa" w:w="70"/>
              <w:right w:type="dxa" w:w="100"/>
            </w:tcMar>
          </w:tcPr>
          <w:p>
            <w:r>
              <w:rPr>
                <w:rFonts w:ascii="Arial" w:cs="Arial" w:eastAsia="Arial" w:hAnsi="Arial"/>
                <w:b/>
                <w:bCs/>
                <w:color w:val="FFFFFF"/>
                <w:sz w:val="20"/>
                <w:szCs w:val="20"/>
              </w:rPr>
              <w:t xml:space="preserve">Component</w:t>
            </w:r>
          </w:p>
        </w:tc>
        <w:tc>
          <w:tcPr>
            <w:tcW w:type="dxa" w:w="3026"/>
            <w:tcBorders>
              <w:top w:val="single" w:color="BFC5CC" w:sz="4"/>
              <w:left w:val="single" w:color="BFC5CC" w:sz="4"/>
              <w:bottom w:val="single" w:color="BFC5CC" w:sz="4"/>
              <w:right w:val="single" w:color="BFC5CC" w:sz="4"/>
            </w:tcBorders>
            <w:shd w:fill="1F3A5F" w:color="auto" w:val="clear"/>
            <w:tcMar>
              <w:top w:type="dxa" w:w="70"/>
              <w:left w:type="dxa" w:w="100"/>
              <w:bottom w:type="dxa" w:w="70"/>
              <w:right w:type="dxa" w:w="100"/>
            </w:tcMar>
          </w:tcPr>
          <w:p>
            <w:r>
              <w:rPr>
                <w:rFonts w:ascii="Arial" w:cs="Arial" w:eastAsia="Arial" w:hAnsi="Arial"/>
                <w:b/>
                <w:bCs/>
                <w:color w:val="FFFFFF"/>
                <w:sz w:val="20"/>
                <w:szCs w:val="20"/>
              </w:rPr>
              <w:t xml:space="preserve">Amount (£)</w:t>
            </w:r>
          </w:p>
        </w:tc>
      </w:tr>
      <w:tr>
        <w:tc>
          <w:tcPr>
            <w:tcW w:type="dxa" w:w="60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People</w:t>
            </w:r>
          </w:p>
        </w:tc>
        <w:tc>
          <w:tcPr>
            <w:tcW w:type="dxa" w:w="30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 ]</w:t>
            </w:r>
          </w:p>
        </w:tc>
      </w:tr>
      <w:tr>
        <w:tc>
          <w:tcPr>
            <w:tcW w:type="dxa" w:w="60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Equipment</w:t>
            </w:r>
          </w:p>
        </w:tc>
        <w:tc>
          <w:tcPr>
            <w:tcW w:type="dxa" w:w="30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 ]</w:t>
            </w:r>
          </w:p>
        </w:tc>
      </w:tr>
      <w:tr>
        <w:tc>
          <w:tcPr>
            <w:tcW w:type="dxa" w:w="60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Plant and Materials</w:t>
            </w:r>
          </w:p>
        </w:tc>
        <w:tc>
          <w:tcPr>
            <w:tcW w:type="dxa" w:w="30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 ]</w:t>
            </w:r>
          </w:p>
        </w:tc>
      </w:tr>
      <w:tr>
        <w:tc>
          <w:tcPr>
            <w:tcW w:type="dxa" w:w="60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Subcontractors (where the schedule has this component)</w:t>
            </w:r>
          </w:p>
        </w:tc>
        <w:tc>
          <w:tcPr>
            <w:tcW w:type="dxa" w:w="30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 ]</w:t>
            </w:r>
          </w:p>
        </w:tc>
      </w:tr>
      <w:tr>
        <w:tc>
          <w:tcPr>
            <w:tcW w:type="dxa" w:w="60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Other components: [state]</w:t>
            </w:r>
          </w:p>
        </w:tc>
        <w:tc>
          <w:tcPr>
            <w:tcW w:type="dxa" w:w="30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 ]</w:t>
            </w:r>
          </w:p>
        </w:tc>
      </w:tr>
      <w:tr>
        <w:tc>
          <w:tcPr>
            <w:tcW w:type="dxa" w:w="60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Risk allowances for cost</w:t>
            </w:r>
          </w:p>
        </w:tc>
        <w:tc>
          <w:tcPr>
            <w:tcW w:type="dxa" w:w="30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 ]</w:t>
            </w:r>
          </w:p>
        </w:tc>
      </w:tr>
      <w:tr>
        <w:tc>
          <w:tcPr>
            <w:tcW w:type="dxa" w:w="60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Fee</w:t>
            </w:r>
          </w:p>
        </w:tc>
        <w:tc>
          <w:tcPr>
            <w:tcW w:type="dxa" w:w="30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 ]</w:t>
            </w:r>
          </w:p>
        </w:tc>
      </w:tr>
      <w:tr>
        <w:tc>
          <w:tcPr>
            <w:tcW w:type="dxa" w:w="60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Total change to the Prices</w:t>
            </w:r>
          </w:p>
        </w:tc>
        <w:tc>
          <w:tcPr>
            <w:tcW w:type="dxa" w:w="30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 ]</w:t>
            </w:r>
          </w:p>
        </w:tc>
      </w:tr>
    </w:tbl>
    <w:p>
      <w:pPr>
        <w:spacing w:after="120"/>
      </w:pPr>
      <w:r>
        <w:rPr>
          <w:rFonts w:ascii="Arial" w:cs="Arial" w:eastAsia="Arial" w:hAnsi="Arial"/>
          <w:sz w:val="19"/>
          <w:szCs w:val="19"/>
        </w:rPr>
        <w:t xml:space="preserve">The build-up is in Appendix A.</w:t>
      </w:r>
    </w:p>
    <w:p>
      <w:pPr>
        <w:pStyle w:val="Heading2"/>
        <w:spacing w:after="100" w:before="240"/>
      </w:pPr>
      <w:r>
        <w:rPr>
          <w:rFonts w:ascii="Arial" w:cs="Arial" w:eastAsia="Arial" w:hAnsi="Arial"/>
          <w:b/>
          <w:bCs/>
          <w:color w:val="1F3A5F"/>
          <w:sz w:val="24"/>
          <w:szCs w:val="24"/>
        </w:rPr>
        <w:t xml:space="preserve">4. Delay to the Completion Date and Key Dates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00"/>
        <w:gridCol w:w="1800"/>
        <w:gridCol w:w="3826"/>
      </w:tblGrid>
      <w:tr>
        <w:trPr>
          <w:tblHeader/>
        </w:trPr>
        <w:tc>
          <w:tcPr>
            <w:tcW w:type="dxa" w:w="3400"/>
            <w:tcBorders>
              <w:top w:val="single" w:color="BFC5CC" w:sz="4"/>
              <w:left w:val="single" w:color="BFC5CC" w:sz="4"/>
              <w:bottom w:val="single" w:color="BFC5CC" w:sz="4"/>
              <w:right w:val="single" w:color="BFC5CC" w:sz="4"/>
            </w:tcBorders>
            <w:shd w:fill="1F3A5F" w:color="auto" w:val="clear"/>
            <w:tcMar>
              <w:top w:type="dxa" w:w="70"/>
              <w:left w:type="dxa" w:w="100"/>
              <w:bottom w:type="dxa" w:w="70"/>
              <w:right w:type="dxa" w:w="100"/>
            </w:tcMar>
          </w:tcPr>
          <w:p>
            <w:r>
              <w:rPr>
                <w:rFonts w:ascii="Arial" w:cs="Arial" w:eastAsia="Arial" w:hAnsi="Arial"/>
                <w:b/>
                <w:bCs/>
                <w:color w:val="FFFFFF"/>
                <w:sz w:val="20"/>
                <w:szCs w:val="20"/>
              </w:rPr>
              <w:t xml:space="preserve">Date</w:t>
            </w:r>
          </w:p>
        </w:tc>
        <w:tc>
          <w:tcPr>
            <w:tcW w:type="dxa" w:w="1800"/>
            <w:tcBorders>
              <w:top w:val="single" w:color="BFC5CC" w:sz="4"/>
              <w:left w:val="single" w:color="BFC5CC" w:sz="4"/>
              <w:bottom w:val="single" w:color="BFC5CC" w:sz="4"/>
              <w:right w:val="single" w:color="BFC5CC" w:sz="4"/>
            </w:tcBorders>
            <w:shd w:fill="1F3A5F" w:color="auto" w:val="clear"/>
            <w:tcMar>
              <w:top w:type="dxa" w:w="70"/>
              <w:left w:type="dxa" w:w="100"/>
              <w:bottom w:type="dxa" w:w="70"/>
              <w:right w:type="dxa" w:w="100"/>
            </w:tcMar>
          </w:tcPr>
          <w:p>
            <w:r>
              <w:rPr>
                <w:rFonts w:ascii="Arial" w:cs="Arial" w:eastAsia="Arial" w:hAnsi="Arial"/>
                <w:b/>
                <w:bCs/>
                <w:color w:val="FFFFFF"/>
                <w:sz w:val="20"/>
                <w:szCs w:val="20"/>
              </w:rPr>
              <w:t xml:space="preserve">Delay (days)</w:t>
            </w:r>
          </w:p>
        </w:tc>
        <w:tc>
          <w:tcPr>
            <w:tcW w:type="dxa" w:w="3826"/>
            <w:tcBorders>
              <w:top w:val="single" w:color="BFC5CC" w:sz="4"/>
              <w:left w:val="single" w:color="BFC5CC" w:sz="4"/>
              <w:bottom w:val="single" w:color="BFC5CC" w:sz="4"/>
              <w:right w:val="single" w:color="BFC5CC" w:sz="4"/>
            </w:tcBorders>
            <w:shd w:fill="1F3A5F" w:color="auto" w:val="clear"/>
            <w:tcMar>
              <w:top w:type="dxa" w:w="70"/>
              <w:left w:type="dxa" w:w="100"/>
              <w:bottom w:type="dxa" w:w="70"/>
              <w:right w:type="dxa" w:w="100"/>
            </w:tcMar>
          </w:tcPr>
          <w:p>
            <w:r>
              <w:rPr>
                <w:rFonts w:ascii="Arial" w:cs="Arial" w:eastAsia="Arial" w:hAnsi="Arial"/>
                <w:b/>
                <w:bCs/>
                <w:color w:val="FFFFFF"/>
                <w:sz w:val="20"/>
                <w:szCs w:val="20"/>
              </w:rPr>
              <w:t xml:space="preserve">Shown by</w:t>
            </w:r>
          </w:p>
        </w:tc>
      </w:tr>
      <w:tr>
        <w:tc>
          <w:tcPr>
            <w:tcW w:type="dxa" w:w="34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Completion Date</w:t>
            </w:r>
          </w:p>
        </w:tc>
        <w:tc>
          <w:tcPr>
            <w:tcW w:type="dxa" w:w="18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 ]</w:t>
            </w:r>
          </w:p>
        </w:tc>
        <w:tc>
          <w:tcPr>
            <w:tcW w:type="dxa" w:w="38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[programme reference, activity IDs on the driving path]</w:t>
            </w:r>
          </w:p>
        </w:tc>
      </w:tr>
      <w:tr>
        <w:tc>
          <w:tcPr>
            <w:tcW w:type="dxa" w:w="34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Key Date [number and description]</w:t>
            </w:r>
          </w:p>
        </w:tc>
        <w:tc>
          <w:tcPr>
            <w:tcW w:type="dxa" w:w="18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 ]</w:t>
            </w:r>
          </w:p>
        </w:tc>
        <w:tc>
          <w:tcPr>
            <w:tcW w:type="dxa" w:w="38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 ]</w:t>
            </w:r>
          </w:p>
        </w:tc>
      </w:tr>
    </w:tbl>
    <w:p>
      <w:pPr>
        <w:spacing w:after="120"/>
      </w:pPr>
      <w:r>
        <w:rPr>
          <w:rFonts w:ascii="Arial" w:cs="Arial" w:eastAsia="Arial" w:hAnsi="Arial"/>
          <w:color w:val="7A4B00"/>
          <w:sz w:val="21"/>
          <w:szCs w:val="21"/>
        </w:rPr>
        <w:t xml:space="preserve">[Explain in a short paragraph how the event causes the delay: which activities are added or extended, the logic that links them to planned Completion, and what float existed before the event.]</w:t>
      </w:r>
    </w:p>
    <w:p>
      <w:pPr>
        <w:pStyle w:val="Heading2"/>
        <w:spacing w:after="100" w:before="240"/>
      </w:pPr>
      <w:r>
        <w:rPr>
          <w:rFonts w:ascii="Arial" w:cs="Arial" w:eastAsia="Arial" w:hAnsi="Arial"/>
          <w:b/>
          <w:bCs/>
          <w:color w:val="1F3A5F"/>
          <w:sz w:val="24"/>
          <w:szCs w:val="24"/>
        </w:rPr>
        <w:t xml:space="preserve">5. Risk allowances</w:t>
      </w:r>
    </w:p>
    <w:p>
      <w:pPr>
        <w:spacing w:after="120"/>
      </w:pPr>
      <w:r>
        <w:rPr>
          <w:rFonts w:ascii="Arial" w:cs="Arial" w:eastAsia="Arial" w:hAnsi="Arial"/>
          <w:color w:val="7A4B00"/>
          <w:sz w:val="21"/>
          <w:szCs w:val="21"/>
        </w:rPr>
        <w:t xml:space="preserve">[Summarise the named risks included for cost and time. Refer to the Risk sheet of the build-up. State the total time risk allowance included in the event activities.]</w:t>
      </w:r>
    </w:p>
    <w:p>
      <w:pPr>
        <w:pStyle w:val="Heading2"/>
        <w:spacing w:after="100" w:before="240"/>
      </w:pPr>
      <w:r>
        <w:rPr>
          <w:rFonts w:ascii="Arial" w:cs="Arial" w:eastAsia="Arial" w:hAnsi="Arial"/>
          <w:b/>
          <w:bCs/>
          <w:color w:val="1F3A5F"/>
          <w:sz w:val="24"/>
          <w:szCs w:val="24"/>
        </w:rPr>
        <w:t xml:space="preserve">6. Appendices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00"/>
        <w:gridCol w:w="7426"/>
      </w:tblGrid>
      <w:tr>
        <w:trPr>
          <w:tblHeader/>
        </w:trPr>
        <w:tc>
          <w:tcPr>
            <w:tcW w:type="dxa" w:w="1600"/>
            <w:tcBorders>
              <w:top w:val="single" w:color="BFC5CC" w:sz="4"/>
              <w:left w:val="single" w:color="BFC5CC" w:sz="4"/>
              <w:bottom w:val="single" w:color="BFC5CC" w:sz="4"/>
              <w:right w:val="single" w:color="BFC5CC" w:sz="4"/>
            </w:tcBorders>
            <w:shd w:fill="1F3A5F" w:color="auto" w:val="clear"/>
            <w:tcMar>
              <w:top w:type="dxa" w:w="70"/>
              <w:left w:type="dxa" w:w="100"/>
              <w:bottom w:type="dxa" w:w="70"/>
              <w:right w:type="dxa" w:w="100"/>
            </w:tcMar>
          </w:tcPr>
          <w:p>
            <w:r>
              <w:rPr>
                <w:rFonts w:ascii="Arial" w:cs="Arial" w:eastAsia="Arial" w:hAnsi="Arial"/>
                <w:b/>
                <w:bCs/>
                <w:color w:val="FFFFFF"/>
                <w:sz w:val="20"/>
                <w:szCs w:val="20"/>
              </w:rPr>
              <w:t xml:space="preserve">Appendix</w:t>
            </w:r>
          </w:p>
        </w:tc>
        <w:tc>
          <w:tcPr>
            <w:tcW w:type="dxa" w:w="7426"/>
            <w:tcBorders>
              <w:top w:val="single" w:color="BFC5CC" w:sz="4"/>
              <w:left w:val="single" w:color="BFC5CC" w:sz="4"/>
              <w:bottom w:val="single" w:color="BFC5CC" w:sz="4"/>
              <w:right w:val="single" w:color="BFC5CC" w:sz="4"/>
            </w:tcBorders>
            <w:shd w:fill="1F3A5F" w:color="auto" w:val="clear"/>
            <w:tcMar>
              <w:top w:type="dxa" w:w="70"/>
              <w:left w:type="dxa" w:w="100"/>
              <w:bottom w:type="dxa" w:w="70"/>
              <w:right w:type="dxa" w:w="100"/>
            </w:tcMar>
          </w:tcPr>
          <w:p>
            <w:r>
              <w:rPr>
                <w:rFonts w:ascii="Arial" w:cs="Arial" w:eastAsia="Arial" w:hAnsi="Arial"/>
                <w:b/>
                <w:bCs/>
                <w:color w:val="FFFFFF"/>
                <w:sz w:val="20"/>
                <w:szCs w:val="20"/>
              </w:rPr>
              <w:t xml:space="preserve">Content</w:t>
            </w:r>
          </w:p>
        </w:tc>
      </w:tr>
      <w:tr>
        <w:tc>
          <w:tcPr>
            <w:tcW w:type="dxa" w:w="16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A</w:t>
            </w:r>
          </w:p>
        </w:tc>
        <w:tc>
          <w:tcPr>
            <w:tcW w:type="dxa" w:w="74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Build-up of the change to the Prices (workbook)</w:t>
            </w:r>
          </w:p>
        </w:tc>
      </w:tr>
      <w:tr>
        <w:tc>
          <w:tcPr>
            <w:tcW w:type="dxa" w:w="16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B</w:t>
            </w:r>
          </w:p>
        </w:tc>
        <w:tc>
          <w:tcPr>
            <w:tcW w:type="dxa" w:w="74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Programme showing the effect of the event, with narrative</w:t>
            </w:r>
          </w:p>
        </w:tc>
      </w:tr>
      <w:tr>
        <w:tc>
          <w:tcPr>
            <w:tcW w:type="dxa" w:w="16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C</w:t>
            </w:r>
          </w:p>
        </w:tc>
        <w:tc>
          <w:tcPr>
            <w:tcW w:type="dxa" w:w="74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Records supporting actual cost: [list]</w:t>
            </w:r>
          </w:p>
        </w:tc>
      </w:tr>
      <w:tr>
        <w:tc>
          <w:tcPr>
            <w:tcW w:type="dxa" w:w="16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D</w:t>
            </w:r>
          </w:p>
        </w:tc>
        <w:tc>
          <w:tcPr>
            <w:tcW w:type="dxa" w:w="74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Quotations, invoices and rate sources supporting forecast cost: [list]</w:t>
            </w:r>
          </w:p>
        </w:tc>
      </w:tr>
      <w:tr>
        <w:tc>
          <w:tcPr>
            <w:tcW w:type="dxa" w:w="16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E</w:t>
            </w:r>
          </w:p>
        </w:tc>
        <w:tc>
          <w:tcPr>
            <w:tcW w:type="dxa" w:w="74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[Photographs, surveys, correspondence]</w:t>
            </w:r>
          </w:p>
        </w:tc>
      </w:tr>
    </w:tbl>
    <w:p>
      <w:pPr>
        <w:pStyle w:val="Heading2"/>
        <w:spacing w:after="100" w:before="240"/>
      </w:pPr>
      <w:r>
        <w:rPr>
          <w:rFonts w:ascii="Arial" w:cs="Arial" w:eastAsia="Arial" w:hAnsi="Arial"/>
          <w:b/>
          <w:bCs/>
          <w:color w:val="1F3A5F"/>
          <w:sz w:val="24"/>
          <w:szCs w:val="24"/>
        </w:rPr>
        <w:t xml:space="preserve">7. Reply</w:t>
      </w:r>
    </w:p>
    <w:p>
      <w:pPr>
        <w:spacing w:after="120"/>
      </w:pPr>
      <w:r>
        <w:rPr>
          <w:rFonts w:ascii="Arial" w:cs="Arial" w:eastAsia="Arial" w:hAnsi="Arial"/>
          <w:sz w:val="21"/>
          <w:szCs w:val="21"/>
        </w:rPr>
        <w:t xml:space="preserve">Please reply to this quotation within the period the contract allows, which we calculate as [dd/mm/yyyy].</w:t>
      </w:r>
    </w:p>
    <w:p>
      <w:pPr>
        <w:spacing w:after="200"/>
      </w:pPr>
      <w:r>
        <w:rPr>
          <w:rFonts w:ascii="Arial" w:cs="Arial" w:eastAsia="Arial" w:hAnsi="Arial"/>
          <w:sz w:val="21"/>
          <w:szCs w:val="21"/>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Signed</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
            </w:r>
          </w:p>
        </w:tc>
      </w:tr>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Name and position</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[name, position]</w:t>
            </w:r>
          </w:p>
        </w:tc>
      </w:tr>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For and on behalf of</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[Contractor]</w:t>
            </w:r>
          </w:p>
        </w:tc>
      </w:tr>
    </w:tbl>
    <w:sectPr>
      <w:footerReference w:type="default" r:id="rId7"/>
      <w:pgSz w:w="11906" w:h="16838" w:orient="portrait"/>
      <w:pgMar w:top="12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66666"/>
        <w:sz w:val="14"/>
        <w:szCs w:val="14"/>
      </w:rPr>
      <w:t xml:space="preserve">This template is general guidance on the standard NEC3 and NEC4 forms, not legal advice. Check it against your own contract, including any Z clauses, before use. NEC is a registered trade mark of its owner; Clause 60 Limited is not affiliated with or endorsed by NEC. Template from clause60.com.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2026-09-17T23:18:49.759Z</dcterms:created>
  <dcterms:modified xsi:type="dcterms:W3CDTF">2026-09-17T23:18:49.759Z</dcterms:modified>
</cp:coreProperties>
</file>

<file path=docProps/custom.xml><?xml version="1.0" encoding="utf-8"?>
<Properties xmlns="http://schemas.openxmlformats.org/officeDocument/2006/custom-properties" xmlns:vt="http://schemas.openxmlformats.org/officeDocument/2006/docPropsVTypes"/>
</file>